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590" w:rsidRPr="00DB6381" w:rsidRDefault="00273590" w:rsidP="00273590">
      <w:pPr>
        <w:pStyle w:val="1NADPISSMLOUVYHKR"/>
      </w:pPr>
      <w:bookmarkStart w:id="0" w:name="_GoBack"/>
      <w:bookmarkEnd w:id="0"/>
      <w:r>
        <w:t>Mandátní smlouva</w:t>
      </w:r>
    </w:p>
    <w:p w:rsidR="00273590" w:rsidRPr="00C04501" w:rsidRDefault="00273590" w:rsidP="00273590">
      <w:pPr>
        <w:jc w:val="center"/>
        <w:rPr>
          <w:sz w:val="24"/>
          <w:szCs w:val="24"/>
        </w:rPr>
      </w:pPr>
    </w:p>
    <w:p w:rsidR="00273590" w:rsidRDefault="00273590" w:rsidP="00273590">
      <w:pPr>
        <w:pStyle w:val="2ZhlavsmlouvyHKR"/>
      </w:pPr>
      <w:r w:rsidRPr="00C04501">
        <w:t>Smluvní strany</w:t>
      </w:r>
    </w:p>
    <w:p w:rsidR="00273590" w:rsidRDefault="00273590" w:rsidP="00273590">
      <w:pPr>
        <w:pStyle w:val="2ZhlavsmlouvyHKR"/>
      </w:pPr>
    </w:p>
    <w:p w:rsidR="00273590" w:rsidRPr="00791B36" w:rsidRDefault="00273590" w:rsidP="00273590">
      <w:pPr>
        <w:pStyle w:val="2ZhlavsmlouvyHKR"/>
        <w:jc w:val="left"/>
        <w:rPr>
          <w:b/>
        </w:rPr>
      </w:pPr>
      <w:r w:rsidRPr="00791B36">
        <w:rPr>
          <w:b/>
        </w:rPr>
        <w:t>Česká republika  - Státní ústav pro kontrolu léčiv, organizační složka státu</w:t>
      </w:r>
    </w:p>
    <w:p w:rsidR="00273590" w:rsidRDefault="00273590" w:rsidP="00273590">
      <w:pPr>
        <w:pStyle w:val="2ZhlavsmlouvyHKR"/>
        <w:jc w:val="left"/>
      </w:pPr>
      <w:r>
        <w:t>se sídlem Šrobárova 48, 100 41 Praha 10</w:t>
      </w:r>
    </w:p>
    <w:p w:rsidR="00273590" w:rsidRDefault="00273590" w:rsidP="00273590">
      <w:pPr>
        <w:pStyle w:val="2ZhlavsmlouvyHKR"/>
        <w:jc w:val="left"/>
      </w:pPr>
      <w:r>
        <w:t>IČ: 00023817</w:t>
      </w:r>
    </w:p>
    <w:p w:rsidR="00273590" w:rsidRDefault="00273590" w:rsidP="00273590">
      <w:pPr>
        <w:pStyle w:val="2ZhlavsmlouvyHKR"/>
        <w:jc w:val="left"/>
      </w:pPr>
      <w:r>
        <w:t>Zastoupen: MUDr. Pavel Březovský, MBA, ředitel</w:t>
      </w:r>
    </w:p>
    <w:p w:rsidR="00273590" w:rsidRPr="008468D1" w:rsidRDefault="00273590" w:rsidP="00273590">
      <w:pPr>
        <w:pStyle w:val="2ZhlavsmlouvyHKR"/>
        <w:jc w:val="left"/>
      </w:pPr>
      <w:r w:rsidRPr="008468D1">
        <w:t>(dále jen „</w:t>
      </w:r>
      <w:r>
        <w:rPr>
          <w:b/>
        </w:rPr>
        <w:t>Mandant</w:t>
      </w:r>
      <w:r w:rsidRPr="008468D1">
        <w:t>“</w:t>
      </w:r>
      <w:r>
        <w:t xml:space="preserve"> nebo „</w:t>
      </w:r>
      <w:r>
        <w:rPr>
          <w:b/>
        </w:rPr>
        <w:t>SÚKL</w:t>
      </w:r>
      <w:r>
        <w:t>“</w:t>
      </w:r>
      <w:r w:rsidRPr="008468D1">
        <w:t>)</w:t>
      </w:r>
    </w:p>
    <w:p w:rsidR="00273590" w:rsidRPr="00C04501" w:rsidRDefault="00273590" w:rsidP="00273590">
      <w:pPr>
        <w:pStyle w:val="2ZhlavsmlouvyHKR"/>
        <w:jc w:val="left"/>
      </w:pPr>
    </w:p>
    <w:p w:rsidR="00273590" w:rsidRDefault="00273590" w:rsidP="00273590">
      <w:pPr>
        <w:pStyle w:val="2ZhlavsmlouvyHKR"/>
      </w:pPr>
      <w:r>
        <w:t>a</w:t>
      </w:r>
    </w:p>
    <w:p w:rsidR="00273590" w:rsidRPr="00C04501" w:rsidRDefault="00273590" w:rsidP="00273590">
      <w:pPr>
        <w:pStyle w:val="2ZhlavsmlouvyHKR"/>
      </w:pPr>
    </w:p>
    <w:p w:rsidR="00273590" w:rsidRPr="00500A0B" w:rsidRDefault="00273590" w:rsidP="00273590">
      <w:r>
        <w:t xml:space="preserve">název </w:t>
      </w:r>
      <w:r w:rsidRPr="00500A0B">
        <w:rPr>
          <w:i/>
          <w:highlight w:val="yellow"/>
        </w:rPr>
        <w:t>Doplní uchazeč</w:t>
      </w:r>
    </w:p>
    <w:p w:rsidR="00273590" w:rsidRPr="00500A0B" w:rsidRDefault="00273590" w:rsidP="00273590">
      <w:r>
        <w:t xml:space="preserve">se sídlem </w:t>
      </w:r>
      <w:r w:rsidRPr="00500A0B">
        <w:rPr>
          <w:i/>
          <w:highlight w:val="yellow"/>
        </w:rPr>
        <w:t>Doplní uchazeč</w:t>
      </w:r>
    </w:p>
    <w:p w:rsidR="00273590" w:rsidRPr="00500A0B" w:rsidRDefault="00273590" w:rsidP="00273590">
      <w:r>
        <w:t>IČ:</w:t>
      </w:r>
      <w:r w:rsidRPr="00BA7912">
        <w:t xml:space="preserve"> </w:t>
      </w:r>
      <w:r w:rsidRPr="00500A0B">
        <w:rPr>
          <w:i/>
          <w:highlight w:val="yellow"/>
        </w:rPr>
        <w:t>Doplní uchazeč</w:t>
      </w:r>
    </w:p>
    <w:p w:rsidR="00273590" w:rsidRPr="00500A0B" w:rsidRDefault="00273590" w:rsidP="00273590">
      <w:r>
        <w:t>DIČ:</w:t>
      </w:r>
      <w:r w:rsidRPr="00BA7912">
        <w:t xml:space="preserve"> </w:t>
      </w:r>
      <w:r w:rsidRPr="00500A0B">
        <w:rPr>
          <w:i/>
          <w:highlight w:val="yellow"/>
        </w:rPr>
        <w:t>Doplní uchazeč</w:t>
      </w:r>
    </w:p>
    <w:p w:rsidR="00273590" w:rsidRPr="00500A0B" w:rsidRDefault="00273590" w:rsidP="00273590">
      <w:r>
        <w:t xml:space="preserve">jednající </w:t>
      </w:r>
      <w:r w:rsidRPr="00500A0B">
        <w:rPr>
          <w:i/>
          <w:highlight w:val="yellow"/>
        </w:rPr>
        <w:t>Doplní uchazeč</w:t>
      </w:r>
    </w:p>
    <w:p w:rsidR="00273590" w:rsidRPr="00500A0B" w:rsidRDefault="00273590" w:rsidP="00273590">
      <w:r>
        <w:t>zap</w:t>
      </w:r>
      <w:r w:rsidR="00925FC5">
        <w:t>s</w:t>
      </w:r>
      <w:r>
        <w:t xml:space="preserve">aná v OR vedeném </w:t>
      </w:r>
      <w:r w:rsidRPr="00500A0B">
        <w:rPr>
          <w:i/>
          <w:highlight w:val="yellow"/>
        </w:rPr>
        <w:t>Doplní uchazeč</w:t>
      </w:r>
      <w:r>
        <w:t xml:space="preserve">, oddíl </w:t>
      </w:r>
      <w:r w:rsidRPr="00500A0B">
        <w:rPr>
          <w:i/>
          <w:highlight w:val="yellow"/>
        </w:rPr>
        <w:t>Doplní uchazeč</w:t>
      </w:r>
      <w:r>
        <w:t xml:space="preserve">, vložka </w:t>
      </w:r>
      <w:r w:rsidRPr="00500A0B">
        <w:rPr>
          <w:i/>
          <w:highlight w:val="yellow"/>
        </w:rPr>
        <w:t>Doplní uchazeč</w:t>
      </w:r>
    </w:p>
    <w:p w:rsidR="00273590" w:rsidRPr="00C04501" w:rsidRDefault="00273590" w:rsidP="00273590">
      <w:pPr>
        <w:pStyle w:val="2ZhlavsmlouvyHKR"/>
        <w:jc w:val="left"/>
      </w:pPr>
      <w:r w:rsidRPr="00C04501">
        <w:t>(dále jen „</w:t>
      </w:r>
      <w:r>
        <w:rPr>
          <w:b/>
        </w:rPr>
        <w:t>Mandatář</w:t>
      </w:r>
      <w:r w:rsidRPr="00C04501">
        <w:t>“)</w:t>
      </w:r>
    </w:p>
    <w:p w:rsidR="00273590" w:rsidRPr="00C04501" w:rsidRDefault="00273590" w:rsidP="00273590">
      <w:pPr>
        <w:pStyle w:val="2ZhlavsmlouvyHKR"/>
      </w:pPr>
    </w:p>
    <w:p w:rsidR="00273590" w:rsidRPr="00C04501" w:rsidRDefault="00273590" w:rsidP="00273590">
      <w:pPr>
        <w:pStyle w:val="2ZhlavsmlouvyHKR"/>
      </w:pPr>
      <w:r w:rsidRPr="00C04501">
        <w:t>(dále také společně jako „</w:t>
      </w:r>
      <w:r w:rsidRPr="00C04501">
        <w:rPr>
          <w:b/>
        </w:rPr>
        <w:t>Smluvní strany</w:t>
      </w:r>
      <w:r w:rsidRPr="00C04501">
        <w:t>“ nebo kterákoli z nich jako „</w:t>
      </w:r>
      <w:r w:rsidRPr="00C04501">
        <w:rPr>
          <w:b/>
        </w:rPr>
        <w:t>Smluvní strana</w:t>
      </w:r>
      <w:r w:rsidRPr="00C04501">
        <w:t>“)</w:t>
      </w:r>
    </w:p>
    <w:p w:rsidR="00273590" w:rsidRPr="00C04501" w:rsidRDefault="00273590" w:rsidP="00273590">
      <w:pPr>
        <w:pStyle w:val="2ZhlavsmlouvyHKR"/>
      </w:pPr>
    </w:p>
    <w:p w:rsidR="00273590" w:rsidRPr="00C04501" w:rsidRDefault="00273590" w:rsidP="00273590">
      <w:pPr>
        <w:pStyle w:val="2ZhlavsmlouvyHKR"/>
      </w:pPr>
      <w:r w:rsidRPr="00C04501">
        <w:t xml:space="preserve">uzavírají níže uvedeného dne, měsíce a roku tuto </w:t>
      </w:r>
      <w:r>
        <w:t>mandátní smlouvu</w:t>
      </w:r>
      <w:r w:rsidRPr="00C04501">
        <w:t xml:space="preserve"> (dále jen „</w:t>
      </w:r>
      <w:r>
        <w:rPr>
          <w:b/>
        </w:rPr>
        <w:t>Smlouva</w:t>
      </w:r>
      <w:r w:rsidRPr="00C04501">
        <w:t>“).</w:t>
      </w:r>
    </w:p>
    <w:p w:rsidR="00273590" w:rsidRDefault="00273590" w:rsidP="00273590">
      <w:pPr>
        <w:pStyle w:val="2ZhlavsmlouvyHKR"/>
      </w:pPr>
    </w:p>
    <w:p w:rsidR="00CC651D" w:rsidRPr="00C04501" w:rsidRDefault="00CC651D" w:rsidP="00273590">
      <w:pPr>
        <w:pStyle w:val="2ZhlavsmlouvyHKR"/>
      </w:pPr>
    </w:p>
    <w:p w:rsidR="00273590" w:rsidRDefault="00273590" w:rsidP="00273590">
      <w:pPr>
        <w:pStyle w:val="3LNEKHKR"/>
      </w:pPr>
      <w:r>
        <w:t>předmět smlouvy</w:t>
      </w:r>
    </w:p>
    <w:p w:rsidR="00273590" w:rsidRDefault="00925FC5" w:rsidP="00273590">
      <w:pPr>
        <w:pStyle w:val="4OdstavecHKR"/>
      </w:pPr>
      <w:r>
        <w:t>Touto smlouvou se Mandatář zavazuje poskytnout Mandantovi</w:t>
      </w:r>
      <w:r w:rsidR="00273590">
        <w:t xml:space="preserve"> služby spočívajících v provedení forenzního šetření, jehož předmětem je prověření</w:t>
      </w:r>
      <w:r w:rsidR="00273590" w:rsidRPr="00A03A75">
        <w:t xml:space="preserve"> hospodaření a vztahů, zejména v oblasti financování, nákupu a nakládání s majetkem </w:t>
      </w:r>
      <w:r w:rsidR="00273590">
        <w:t>(dále jen „</w:t>
      </w:r>
      <w:r w:rsidR="00273590" w:rsidRPr="0016277D">
        <w:rPr>
          <w:b/>
        </w:rPr>
        <w:t xml:space="preserve">Forenzní </w:t>
      </w:r>
      <w:r w:rsidR="00273590">
        <w:rPr>
          <w:b/>
        </w:rPr>
        <w:t>šetření</w:t>
      </w:r>
      <w:r w:rsidR="00273590">
        <w:t xml:space="preserve">“) </w:t>
      </w:r>
      <w:r w:rsidR="00273590" w:rsidRPr="00A03A75">
        <w:t xml:space="preserve">v rámci </w:t>
      </w:r>
      <w:r w:rsidR="00273590">
        <w:t>SÚKL.</w:t>
      </w:r>
      <w:r w:rsidR="00756E2A">
        <w:t xml:space="preserve"> Bližší specifikace služeb je sjednána v článcích II. až IV. této Smlouvy.</w:t>
      </w:r>
    </w:p>
    <w:p w:rsidR="00273590" w:rsidRDefault="00756E2A" w:rsidP="00273590">
      <w:pPr>
        <w:pStyle w:val="4OdstavecHKR"/>
      </w:pPr>
      <w:r>
        <w:t>Z</w:t>
      </w:r>
      <w:r w:rsidR="00273590">
        <w:t xml:space="preserve">a </w:t>
      </w:r>
      <w:r>
        <w:t xml:space="preserve">řádné poskytnutí </w:t>
      </w:r>
      <w:r w:rsidR="00273590">
        <w:t>služ</w:t>
      </w:r>
      <w:r w:rsidR="00CC651D">
        <w:t>e</w:t>
      </w:r>
      <w:r w:rsidR="00273590">
        <w:t xml:space="preserve">b dle odst. 1) </w:t>
      </w:r>
      <w:r>
        <w:t xml:space="preserve">se Mandant zavazuje zaplatit Mandatáři odměnu dle článku VIII. této Smlouvy. </w:t>
      </w:r>
    </w:p>
    <w:p w:rsidR="00CC651D" w:rsidRDefault="00CC651D" w:rsidP="00CC651D">
      <w:pPr>
        <w:pStyle w:val="4OdstavecHKR"/>
        <w:numPr>
          <w:ilvl w:val="0"/>
          <w:numId w:val="0"/>
        </w:numPr>
        <w:ind w:left="454"/>
      </w:pPr>
    </w:p>
    <w:p w:rsidR="00273590" w:rsidRDefault="00273590" w:rsidP="00273590">
      <w:pPr>
        <w:pStyle w:val="3LNEKHKR"/>
        <w:ind w:left="454" w:hanging="166"/>
      </w:pPr>
      <w:r>
        <w:t xml:space="preserve"> forenzní šetření</w:t>
      </w:r>
    </w:p>
    <w:p w:rsidR="00273590" w:rsidRDefault="00273590" w:rsidP="00273590">
      <w:pPr>
        <w:pStyle w:val="4OdstavecHKR"/>
      </w:pPr>
      <w:r>
        <w:t>Mandatář se v rámci Forenzního šetření zavazuje poskytnout Mandantovi následující služby:</w:t>
      </w:r>
    </w:p>
    <w:p w:rsidR="00273590" w:rsidRDefault="00273590" w:rsidP="00273590">
      <w:pPr>
        <w:pStyle w:val="5PodOdstavecHKR"/>
        <w:ind w:left="1191" w:hanging="471"/>
      </w:pPr>
      <w:r w:rsidRPr="00161EB2">
        <w:t>Prověrka dodržování pravidel hospodaření s majetkem a transakcí</w:t>
      </w:r>
    </w:p>
    <w:p w:rsidR="00273590" w:rsidRPr="0016277D" w:rsidRDefault="00273590" w:rsidP="00273590">
      <w:pPr>
        <w:pStyle w:val="5PodOdstavecHKR"/>
        <w:ind w:left="1191" w:hanging="471"/>
      </w:pPr>
      <w:r w:rsidRPr="00F474A4">
        <w:t>Identifikace nestandardních transakcí a aspektů hospodaření</w:t>
      </w:r>
    </w:p>
    <w:p w:rsidR="00273590" w:rsidRDefault="00273590" w:rsidP="00273590">
      <w:pPr>
        <w:pStyle w:val="5PodOdstavecHKR"/>
        <w:ind w:left="1191" w:hanging="471"/>
      </w:pPr>
      <w:bookmarkStart w:id="1" w:name="_Ref336020209"/>
      <w:r w:rsidRPr="00F474A4">
        <w:t>Podrobné prošetření identifikovaných případů</w:t>
      </w:r>
    </w:p>
    <w:bookmarkEnd w:id="1"/>
    <w:p w:rsidR="00CC651D" w:rsidRDefault="00273590" w:rsidP="00CC651D">
      <w:pPr>
        <w:pStyle w:val="4OdstavecHKR"/>
      </w:pPr>
      <w:r>
        <w:t>Jednotlivé služby dle odst. 1) jsou specifikovány v čl. III. této Smlouvy.</w:t>
      </w:r>
    </w:p>
    <w:p w:rsidR="00CC651D" w:rsidRDefault="00CC651D" w:rsidP="00CC651D">
      <w:pPr>
        <w:pStyle w:val="4OdstavecHKR"/>
        <w:numPr>
          <w:ilvl w:val="0"/>
          <w:numId w:val="0"/>
        </w:numPr>
        <w:ind w:left="454"/>
      </w:pPr>
    </w:p>
    <w:p w:rsidR="00CC651D" w:rsidRDefault="00CC651D" w:rsidP="00CC651D">
      <w:pPr>
        <w:pStyle w:val="4OdstavecHKR"/>
        <w:numPr>
          <w:ilvl w:val="0"/>
          <w:numId w:val="0"/>
        </w:numPr>
        <w:ind w:left="454"/>
      </w:pPr>
    </w:p>
    <w:p w:rsidR="00273590" w:rsidRDefault="00273590" w:rsidP="00273590">
      <w:pPr>
        <w:pStyle w:val="3LNEKHKR"/>
        <w:ind w:left="454" w:hanging="166"/>
      </w:pPr>
      <w:r>
        <w:lastRenderedPageBreak/>
        <w:t>Specifikace služeb</w:t>
      </w:r>
    </w:p>
    <w:p w:rsidR="00273590" w:rsidRPr="00161EB2" w:rsidRDefault="00273590" w:rsidP="00273590">
      <w:pPr>
        <w:pStyle w:val="4OdstavecHKR"/>
      </w:pPr>
      <w:r>
        <w:t>Služba „</w:t>
      </w:r>
      <w:r w:rsidRPr="00161EB2">
        <w:t>Prověrka dodržování pravidel hospodaření s majetkem a transakcí</w:t>
      </w:r>
      <w:r>
        <w:t>“ je specifikována následovně:</w:t>
      </w:r>
    </w:p>
    <w:p w:rsidR="00273590" w:rsidRPr="002412D2" w:rsidRDefault="00273590" w:rsidP="00273590">
      <w:pPr>
        <w:pStyle w:val="5PodOdstavecHKR"/>
        <w:ind w:left="1191" w:hanging="471"/>
      </w:pPr>
      <w:r>
        <w:t xml:space="preserve">Mandatář je povinen prověřit, zda </w:t>
      </w:r>
      <w:r w:rsidRPr="00F474A4">
        <w:t>při činnosti SÚKL došlo k porušení obecně závazných nebo interních pravidel pro hospodaření s majetkem nebo majetkové transakce SÚKL, zejména pokud jde o směrnice, postupy a pravidla pro nakládání s majetkem, provádění zadávacích řízení veřejných zakázek a veřejných zakázek malého rozsahu, včetně procesu hodnocení, výběru a schvalování dodavatelů nebo nákupů zboží, služeb a stavebních prací nebo prodeje a převody majetku SÚKL, včetně prověření výdajů SÚKL v podrobnosti analytické evidence a prověření účetní dokumentace k nakládání se svěřeným majetkem. Relevantním obdobím je období od 1. 1. 2009 do 30. 9. 2012.</w:t>
      </w:r>
    </w:p>
    <w:p w:rsidR="00273590" w:rsidRPr="0088380F" w:rsidRDefault="00273590" w:rsidP="00273590">
      <w:pPr>
        <w:pStyle w:val="4OdstavecHKR"/>
      </w:pPr>
      <w:r>
        <w:t>Služba „</w:t>
      </w:r>
      <w:r w:rsidRPr="00F474A4">
        <w:t>Identifikace nestandardních transakcí a aspektů hospodaření</w:t>
      </w:r>
      <w:r w:rsidRPr="00F474A4">
        <w:rPr>
          <w:color w:val="000000"/>
        </w:rPr>
        <w:t>“ je specifikována následovně:</w:t>
      </w:r>
    </w:p>
    <w:p w:rsidR="00273590" w:rsidRPr="002412D2" w:rsidRDefault="00273590" w:rsidP="00273590">
      <w:pPr>
        <w:pStyle w:val="5PodOdstavecHKR"/>
        <w:ind w:left="1191" w:hanging="471"/>
      </w:pPr>
      <w:r>
        <w:t xml:space="preserve">Mandatář je povinen </w:t>
      </w:r>
      <w:r w:rsidRPr="00F474A4">
        <w:t>provést prově</w:t>
      </w:r>
      <w:r>
        <w:t>ření</w:t>
      </w:r>
      <w:r w:rsidRPr="00F474A4">
        <w:t xml:space="preserve"> veškerých smluvních vztahů a souvisejících transakcí SÚKL, majících zásadní dopad na hospodaření a finanční toky SÚKL (limit pro zásadní dopad na hospodaření činí 200.000,- Kč na jednu transakci; v případě opakujících se transakcí stejného druhu se hodnoty těchto transakcí sčítají; </w:t>
      </w:r>
      <w:r>
        <w:t>Mandant</w:t>
      </w:r>
      <w:r w:rsidRPr="00F474A4">
        <w:t xml:space="preserve"> je oprávněn sám identifikovat transakce se zásadním dopadem na hospodaření), zahrnující prověření postupů vedoucích k uzavření smluvních vztahů a souvisejících transakcí SÚKL i prověření plnění realizace jednotlivých smluvních vztahů a to z pohledu časového, finančního i dosažení plánovaných výstupů a jejich následného uplatnění v rámci S</w:t>
      </w:r>
      <w:r w:rsidR="00756E2A">
        <w:t>Ú</w:t>
      </w:r>
      <w:r w:rsidRPr="00F474A4">
        <w:t xml:space="preserve">KL, včetně prověření jednotlivých smluvních vztahů z pohledu ekonomického přínosu pro SÚKL (efektivního vynakládání finančních prostředků). Dodavatel </w:t>
      </w:r>
      <w:r w:rsidR="00756E2A">
        <w:t>je</w:t>
      </w:r>
      <w:r w:rsidR="00756E2A" w:rsidRPr="00F474A4">
        <w:t xml:space="preserve"> </w:t>
      </w:r>
      <w:r w:rsidRPr="00F474A4">
        <w:t>povinen identifikovat neobvyklé trendy při nakládání s majetkem a nestandardní či rizikové transakce SÚKL</w:t>
      </w:r>
      <w:r w:rsidR="00756E2A">
        <w:t>,</w:t>
      </w:r>
      <w:r w:rsidRPr="00F474A4">
        <w:t xml:space="preserve"> včetně případů střetu zájmů současných nebo minulých vedoucích zaměstnanců SÚKL ve vztahu k dodavatelům dodávek</w:t>
      </w:r>
      <w:r w:rsidR="00756E2A">
        <w:t>,</w:t>
      </w:r>
      <w:r w:rsidRPr="00F474A4">
        <w:t xml:space="preserve"> služeb a stavebních prací pro SÚKL. Relevantním obdobím je období od 1. 1. 2009 do 30. 9. 2012</w:t>
      </w:r>
      <w:r>
        <w:t>.</w:t>
      </w:r>
    </w:p>
    <w:p w:rsidR="00273590" w:rsidRPr="0088380F" w:rsidRDefault="00273590" w:rsidP="00273590">
      <w:pPr>
        <w:pStyle w:val="4OdstavecHKR"/>
      </w:pPr>
      <w:r>
        <w:t>Služba „</w:t>
      </w:r>
      <w:r w:rsidRPr="00F474A4">
        <w:t>Podrobné prošetření identifikovaných případů</w:t>
      </w:r>
      <w:r>
        <w:t>“ je specifikována následovně:</w:t>
      </w:r>
    </w:p>
    <w:p w:rsidR="00273590" w:rsidRDefault="00273590" w:rsidP="00273590">
      <w:pPr>
        <w:pStyle w:val="5PodOdstavecHKR"/>
        <w:ind w:left="1191" w:hanging="471"/>
      </w:pPr>
      <w:r>
        <w:t>Mandatář je povinen n</w:t>
      </w:r>
      <w:r w:rsidRPr="00F474A4">
        <w:t>a základě identifikace uvedené v</w:t>
      </w:r>
      <w:r>
        <w:t> odst. 2)</w:t>
      </w:r>
      <w:r w:rsidRPr="00F474A4">
        <w:t xml:space="preserve"> provést podrobné prošetření identifikovaných případů, a to konkrétně zda došlo k řádnému výběru dodavatele, k dodání zboží, služeb a stavebních prací řádně a za standardní ceny, zda finanční prostředky byly vynaloženy efektivně účelně a hospodárně, v souladu s právními předpisy a interními pravidly a zda jsou transakce řádně podloženy příslušnými dokumenty (objednávky, smlouvy, apod. včetně odpovídající účetní analytické evidence). Relevantním obdobím je období od 1. 1. 2009 do 30. 9. 2012. </w:t>
      </w:r>
    </w:p>
    <w:p w:rsidR="00273590" w:rsidRDefault="00273590" w:rsidP="00273590">
      <w:pPr>
        <w:pStyle w:val="5PodOdstavecHKR"/>
        <w:ind w:left="1191" w:hanging="471"/>
      </w:pPr>
      <w:r w:rsidRPr="00F474A4">
        <w:t xml:space="preserve">Pokud bude dle </w:t>
      </w:r>
      <w:r>
        <w:t>odst. 2)</w:t>
      </w:r>
      <w:r w:rsidRPr="00F474A4">
        <w:t xml:space="preserve"> identifikováno více než 15 případů, bude se podrobné prošetření dle </w:t>
      </w:r>
      <w:r>
        <w:t xml:space="preserve">písm. a) </w:t>
      </w:r>
      <w:r w:rsidRPr="00F474A4">
        <w:t xml:space="preserve">tohoto </w:t>
      </w:r>
      <w:r>
        <w:t>odstavce</w:t>
      </w:r>
      <w:r w:rsidRPr="00F474A4">
        <w:t xml:space="preserve"> týkat 15 případů, které budou dle </w:t>
      </w:r>
      <w:r>
        <w:t>své</w:t>
      </w:r>
      <w:r w:rsidRPr="00F474A4">
        <w:t xml:space="preserve"> míry závažnosti určeny </w:t>
      </w:r>
      <w:r>
        <w:t>Mandantem na základě informací a doporučení Mandatáře</w:t>
      </w:r>
      <w:r w:rsidRPr="00F474A4">
        <w:t>.</w:t>
      </w:r>
    </w:p>
    <w:p w:rsidR="00273590" w:rsidRDefault="00273590" w:rsidP="00273590">
      <w:pPr>
        <w:pStyle w:val="4OdstavecHKR"/>
      </w:pPr>
      <w:r>
        <w:t>Pro účely této Smlouvy se „</w:t>
      </w:r>
      <w:r>
        <w:rPr>
          <w:b/>
        </w:rPr>
        <w:t>relevantním obdobím</w:t>
      </w:r>
      <w:r w:rsidRPr="00C00DBB">
        <w:t>“ rozumí</w:t>
      </w:r>
      <w:r>
        <w:t xml:space="preserve"> časové období, které je předmětem zaměření konkrétní služby v rámci Forenzního šetření.</w:t>
      </w:r>
    </w:p>
    <w:p w:rsidR="00273590" w:rsidRDefault="00273590" w:rsidP="00273590">
      <w:pPr>
        <w:pStyle w:val="3LNEKHKR"/>
        <w:ind w:left="454" w:hanging="166"/>
      </w:pPr>
      <w:r>
        <w:lastRenderedPageBreak/>
        <w:t xml:space="preserve"> požadované výstupy poskytovaných služeb</w:t>
      </w:r>
    </w:p>
    <w:p w:rsidR="00273590" w:rsidRDefault="00273590" w:rsidP="00273590">
      <w:pPr>
        <w:pStyle w:val="4OdstavecHKR"/>
      </w:pPr>
      <w:r>
        <w:t>Mandatář je povinen poskytnout Mandantovi služby specifikované v této Smlouvě, přičemž součástí řádného poskytnutí služeb jsou následující výstupy:</w:t>
      </w:r>
    </w:p>
    <w:p w:rsidR="00273590" w:rsidRDefault="00273590" w:rsidP="00273590">
      <w:pPr>
        <w:pStyle w:val="5PodOdstavecHKR"/>
      </w:pPr>
      <w:r>
        <w:t>podrobná dokumentace provedených šetření včetně uvedení použitých zdrojů informací a forenzních metod obsahující konkrétní zjištění a dovozené závěry (dále jen „</w:t>
      </w:r>
      <w:r w:rsidRPr="00B561AA">
        <w:rPr>
          <w:b/>
        </w:rPr>
        <w:t>Protokolace šetření</w:t>
      </w:r>
      <w:r>
        <w:t>“), a</w:t>
      </w:r>
    </w:p>
    <w:p w:rsidR="00273590" w:rsidRDefault="00273590" w:rsidP="00273590">
      <w:pPr>
        <w:pStyle w:val="5PodOdstavecHKR"/>
      </w:pPr>
      <w:r>
        <w:t>závěrečná zpráva obsahující shrnutí konkrétních nálezů Forenzního šetření a dovozených závěrů v rozsahu nejméně 20 normostran (dále jen „</w:t>
      </w:r>
      <w:r w:rsidRPr="00B561AA">
        <w:rPr>
          <w:b/>
        </w:rPr>
        <w:t>Závěrečná zpráva</w:t>
      </w:r>
      <w:r>
        <w:t>“).</w:t>
      </w:r>
    </w:p>
    <w:p w:rsidR="00273590" w:rsidRDefault="00273590" w:rsidP="00273590">
      <w:pPr>
        <w:pStyle w:val="4OdstavecHKR"/>
      </w:pPr>
      <w:r>
        <w:t>Výstupy dle odst. 1) je Mandatář povinen poskytnout Mandantovi ve třech vyhotoveních v papírové formě a v jednom vyhotovení v elektronické formě.</w:t>
      </w:r>
    </w:p>
    <w:p w:rsidR="00273590" w:rsidRDefault="00273590" w:rsidP="00273590">
      <w:pPr>
        <w:pStyle w:val="4OdstavecHKR"/>
      </w:pPr>
      <w:r>
        <w:t>Výstupy dle odst. 1) jsou majetkem Mandanta.</w:t>
      </w:r>
    </w:p>
    <w:p w:rsidR="00273590" w:rsidRDefault="00273590" w:rsidP="00273590">
      <w:pPr>
        <w:pStyle w:val="4OdstavecHKR"/>
      </w:pPr>
      <w:r>
        <w:t>Forenzní šetření bude provedeno výhradně pro interní potřeby Mandanta</w:t>
      </w:r>
      <w:r w:rsidR="003B2374">
        <w:t>.</w:t>
      </w:r>
      <w:r>
        <w:t xml:space="preserve"> </w:t>
      </w:r>
      <w:r w:rsidR="003B2374" w:rsidRPr="003B2374">
        <w:t xml:space="preserve"> </w:t>
      </w:r>
      <w:r w:rsidR="003B2374">
        <w:t xml:space="preserve">Podrobná dokumentace provedených šetření a </w:t>
      </w:r>
      <w:r>
        <w:t xml:space="preserve">Závěrečná zpráva </w:t>
      </w:r>
      <w:r w:rsidR="003B2374">
        <w:t xml:space="preserve">budou </w:t>
      </w:r>
      <w:r>
        <w:t>adresován</w:t>
      </w:r>
      <w:r w:rsidR="003B2374">
        <w:t>y</w:t>
      </w:r>
      <w:r>
        <w:t xml:space="preserve"> výlučně Mandantovi. Bez předchozího písemného souhlasu </w:t>
      </w:r>
      <w:r w:rsidR="003B2374">
        <w:t xml:space="preserve">Mandanta není Mandatář oprávněn zpřístupnit Podrobnou dokumentaci provedených šetření a </w:t>
      </w:r>
      <w:r>
        <w:t>Závěrečnou zprávu jakékoli třetí osobě a pořizovat z n</w:t>
      </w:r>
      <w:r w:rsidR="003B2374">
        <w:t>ich</w:t>
      </w:r>
      <w:r>
        <w:t xml:space="preserve"> kopie.</w:t>
      </w:r>
      <w:r w:rsidR="003B2374">
        <w:t xml:space="preserve"> Při porušení této povinnosti je Mandatář povinen uhradit Mandantovi smluvní pokutu dle článku VII. odst. 5).</w:t>
      </w:r>
    </w:p>
    <w:p w:rsidR="00CC651D" w:rsidRPr="002B6D2A" w:rsidRDefault="00CC651D" w:rsidP="00CC651D">
      <w:pPr>
        <w:pStyle w:val="4OdstavecHKR"/>
        <w:numPr>
          <w:ilvl w:val="0"/>
          <w:numId w:val="0"/>
        </w:numPr>
        <w:ind w:left="454"/>
      </w:pPr>
    </w:p>
    <w:p w:rsidR="00273590" w:rsidRDefault="00273590" w:rsidP="00273590">
      <w:pPr>
        <w:pStyle w:val="3LNEKHKR"/>
        <w:ind w:left="454" w:hanging="166"/>
      </w:pPr>
      <w:r>
        <w:t>Lhůta pro poskytnutí služeb</w:t>
      </w:r>
    </w:p>
    <w:p w:rsidR="00273590" w:rsidRPr="00C04501" w:rsidRDefault="00273590" w:rsidP="00273590">
      <w:pPr>
        <w:pStyle w:val="4OdstavecHKR"/>
      </w:pPr>
      <w:r>
        <w:t xml:space="preserve">Mandatář se zavazuje poskytnout Mandantovi dohodnuté služby a předat Mandantovi </w:t>
      </w:r>
      <w:r w:rsidR="003B2374">
        <w:t>Podrobnou dokumentaci provedených</w:t>
      </w:r>
      <w:r>
        <w:t xml:space="preserve"> šetření a Závěrečnou zprávu nejpozději do 2 měsíců od </w:t>
      </w:r>
      <w:r w:rsidR="00340090">
        <w:t xml:space="preserve">data podpisu </w:t>
      </w:r>
      <w:r>
        <w:t>této Smlouvy</w:t>
      </w:r>
      <w:r w:rsidR="00340090">
        <w:t xml:space="preserve"> oběma Smluvními stranami</w:t>
      </w:r>
      <w:r>
        <w:t>.</w:t>
      </w:r>
    </w:p>
    <w:p w:rsidR="00273590" w:rsidRDefault="00273590" w:rsidP="00273590">
      <w:pPr>
        <w:pStyle w:val="4OdstavecHKR"/>
      </w:pPr>
      <w:r>
        <w:t>Lhůta dle odst. 1) se prodlužuje o dobu, po kterou je Mandant v prodlení s poskytnutím potřebné součinnosti Mandatáři, zejména s předáním potřebných informací a dokumentů.</w:t>
      </w:r>
    </w:p>
    <w:p w:rsidR="00CC651D" w:rsidRDefault="00CC651D" w:rsidP="00CC651D">
      <w:pPr>
        <w:pStyle w:val="4OdstavecHKR"/>
        <w:numPr>
          <w:ilvl w:val="0"/>
          <w:numId w:val="0"/>
        </w:numPr>
        <w:ind w:left="454"/>
      </w:pPr>
    </w:p>
    <w:p w:rsidR="00273590" w:rsidRDefault="00273590" w:rsidP="00273590">
      <w:pPr>
        <w:pStyle w:val="3LNEKHKR"/>
        <w:ind w:left="454" w:hanging="166"/>
      </w:pPr>
      <w:r>
        <w:t>Součinnost mandanta</w:t>
      </w:r>
    </w:p>
    <w:p w:rsidR="00273590" w:rsidRDefault="00273590" w:rsidP="00273590">
      <w:pPr>
        <w:pStyle w:val="4OdstavecHKR"/>
      </w:pPr>
      <w:r>
        <w:t>Mandant je povinen poskytnout Mandatáři potřebnou součinnost pro splnění povinností Mandatáře dle této Smlouvy.</w:t>
      </w:r>
    </w:p>
    <w:p w:rsidR="00273590" w:rsidRDefault="00273590" w:rsidP="00273590">
      <w:pPr>
        <w:pStyle w:val="4OdstavecHKR"/>
      </w:pPr>
      <w:r>
        <w:t>Mandant je zejména povinen poskytnout Mandatáři na jeho žádost veškeré informace a dokumenty, o které ho Mandatář požádá a které Mandatář potřebuje pro splnění svých povinností dle této Smlouvy, a to do 3 pracovních dnů od okamžiku, kdy byl Mandatářem požádán.</w:t>
      </w:r>
    </w:p>
    <w:p w:rsidR="00273590" w:rsidRDefault="00273590" w:rsidP="00273590">
      <w:pPr>
        <w:pStyle w:val="4OdstavecHKR"/>
      </w:pPr>
      <w:r>
        <w:t>Je-li Mandatář v prodlení s poskytnutím některých informací nebo dokumentů, je Mandatář povinen jej písemně na toto upozornit, včetně uvedení kterých informací či dokumentů se prodlení týká, a to do 2 pracovních dnů od okamžiku, kdy prodlení začalo. Porušením této povinnosti je vyloučeno právo Mandatáře na prodloužení lhůty pro poskytnutí služeb.</w:t>
      </w:r>
    </w:p>
    <w:p w:rsidR="00CC651D" w:rsidRDefault="00CC651D" w:rsidP="00CC651D">
      <w:pPr>
        <w:pStyle w:val="4OdstavecHKR"/>
        <w:numPr>
          <w:ilvl w:val="0"/>
          <w:numId w:val="0"/>
        </w:numPr>
        <w:ind w:left="454"/>
      </w:pPr>
    </w:p>
    <w:p w:rsidR="00CC651D" w:rsidRPr="00042B00" w:rsidRDefault="00CC651D" w:rsidP="00CC651D">
      <w:pPr>
        <w:pStyle w:val="4OdstavecHKR"/>
        <w:numPr>
          <w:ilvl w:val="0"/>
          <w:numId w:val="0"/>
        </w:numPr>
        <w:ind w:left="454"/>
      </w:pPr>
    </w:p>
    <w:p w:rsidR="00273590" w:rsidRDefault="00273590" w:rsidP="00273590">
      <w:pPr>
        <w:pStyle w:val="3LNEKHKR"/>
        <w:ind w:left="454" w:hanging="166"/>
      </w:pPr>
      <w:r>
        <w:lastRenderedPageBreak/>
        <w:t>povinnosti mandatáře při poskytování služeb</w:t>
      </w:r>
    </w:p>
    <w:p w:rsidR="00273590" w:rsidRDefault="00273590" w:rsidP="00273590">
      <w:pPr>
        <w:pStyle w:val="4OdstavecHKR"/>
      </w:pPr>
      <w:r>
        <w:t>Mandatář je povinen poskytovat služby dle této Smlouvy řádně a s odbornou péčí a za použití veškerých dostupných forenzních a jiných metod, které jsou při poskytování takových služeb obvyklé.</w:t>
      </w:r>
    </w:p>
    <w:p w:rsidR="00273590" w:rsidRDefault="00273590" w:rsidP="00273590">
      <w:pPr>
        <w:pStyle w:val="4OdstavecHKR"/>
      </w:pPr>
      <w:r>
        <w:t>Mandatář je povinen postupovat v souladu s právními předpisy České republiky.</w:t>
      </w:r>
    </w:p>
    <w:p w:rsidR="00273590" w:rsidRPr="002412D2" w:rsidRDefault="00273590" w:rsidP="00273590">
      <w:pPr>
        <w:pStyle w:val="4OdstavecHKR"/>
      </w:pPr>
      <w:r>
        <w:t>Mandatář je při poskytování služeb povinen dodržovat mezinárodně i vnitrostátně uznávané standardy pro poskytování služeb předmětného typu a postupovat při poskytování služeb metodami, které odpovídají aktuálnímu stavu poznání aplikovaných věd a oborů.</w:t>
      </w:r>
    </w:p>
    <w:p w:rsidR="00273590" w:rsidRDefault="00273590" w:rsidP="00273590">
      <w:pPr>
        <w:pStyle w:val="4OdstavecHKR"/>
      </w:pPr>
      <w:r>
        <w:t>Mandatář je povinen při poskytování služeb vycházet z informací a dokumentů poskytnutých Mandantem a z informací, které jsou Mandatáři dostupné z veřejných zdrojů, nebo které byly získány při provádění šetření, popř. jsou Mandatáři jinak dostupné.</w:t>
      </w:r>
    </w:p>
    <w:p w:rsidR="00273590" w:rsidRDefault="00273590" w:rsidP="00273590">
      <w:pPr>
        <w:pStyle w:val="4OdstavecHKR"/>
      </w:pPr>
      <w:r>
        <w:t>Mandatář je povinen zachovat mlčenlivost o všech informacích či skutečnostech, které se v souvislosti s touto Smlouvou dozví, jako i o všech výstupech, které vzniknou při poskytování služeb dle této Smlouvy. V případě porušení této povinnosti je Mandatář povinen zaplatit Mandantovi smluvní pokutu ve výši 10% z</w:t>
      </w:r>
      <w:r w:rsidR="003B2374">
        <w:t> </w:t>
      </w:r>
      <w:r>
        <w:t>Ceny</w:t>
      </w:r>
      <w:r w:rsidR="003B2374">
        <w:t xml:space="preserve"> za poskytování služeb dle článku VIII. odst. 1)</w:t>
      </w:r>
      <w:r>
        <w:t>. Tím není dotčeno právo na náhradu škody v rozsahu převyšujícím smluvní pokutu.</w:t>
      </w:r>
    </w:p>
    <w:p w:rsidR="00CC651D" w:rsidRDefault="00CC651D" w:rsidP="00CC651D">
      <w:pPr>
        <w:pStyle w:val="4OdstavecHKR"/>
        <w:numPr>
          <w:ilvl w:val="0"/>
          <w:numId w:val="0"/>
        </w:numPr>
        <w:ind w:left="454"/>
      </w:pPr>
    </w:p>
    <w:p w:rsidR="00273590" w:rsidRDefault="00273590" w:rsidP="00273590">
      <w:pPr>
        <w:pStyle w:val="3LNEKHKR"/>
        <w:ind w:left="454" w:hanging="166"/>
      </w:pPr>
      <w:r>
        <w:t>cena za poskytování služeb</w:t>
      </w:r>
    </w:p>
    <w:p w:rsidR="00273590" w:rsidRDefault="00273590" w:rsidP="00273590">
      <w:pPr>
        <w:pStyle w:val="4OdstavecHKR"/>
      </w:pPr>
      <w:r>
        <w:t xml:space="preserve">Mandant se zavazuje zaplatit Mandatáři za veškerá plnění poskytnutá Mandatářem dle této Smlouvy celkovou cenu ve výši </w:t>
      </w:r>
      <w:r>
        <w:rPr>
          <w:i/>
          <w:highlight w:val="yellow"/>
        </w:rPr>
        <w:t>D</w:t>
      </w:r>
      <w:r w:rsidRPr="002C3834">
        <w:rPr>
          <w:i/>
          <w:highlight w:val="yellow"/>
        </w:rPr>
        <w:t>oplní uchazeč</w:t>
      </w:r>
      <w:r>
        <w:t xml:space="preserve"> Kč bez DPH (dále jen „</w:t>
      </w:r>
      <w:r w:rsidRPr="00AA53D8">
        <w:rPr>
          <w:b/>
        </w:rPr>
        <w:t>Cena</w:t>
      </w:r>
      <w:r>
        <w:t>“).</w:t>
      </w:r>
    </w:p>
    <w:p w:rsidR="00273590" w:rsidRDefault="00273590" w:rsidP="00273590">
      <w:pPr>
        <w:pStyle w:val="4OdstavecHKR"/>
      </w:pPr>
      <w:r>
        <w:t>K Ceně bude připočítána daň z přidané hodnoty ve výši stanovené právním předpisem ke dni uskutečnitelného zdanitelného plnění.</w:t>
      </w:r>
    </w:p>
    <w:p w:rsidR="00273590" w:rsidRDefault="00273590" w:rsidP="00273590">
      <w:pPr>
        <w:pStyle w:val="4OdstavecHKR"/>
      </w:pPr>
      <w:r>
        <w:t xml:space="preserve">Dohodnutá Cena je konečná, zahrnující veškeré náklady </w:t>
      </w:r>
      <w:r w:rsidR="004F6A88">
        <w:t xml:space="preserve">a výdaje </w:t>
      </w:r>
      <w:r>
        <w:t>Mandatáře související s poskytnutím služeb dle této Smlouvy a může být měněna jen na základě písemné dohody Smluvních stran</w:t>
      </w:r>
      <w:r w:rsidR="004F6A88">
        <w:t xml:space="preserve"> ve formě dodatku k této Smlouvě</w:t>
      </w:r>
      <w:r>
        <w:t>.</w:t>
      </w:r>
    </w:p>
    <w:p w:rsidR="00273590" w:rsidRDefault="00273590" w:rsidP="00273590">
      <w:pPr>
        <w:pStyle w:val="4OdstavecHKR"/>
      </w:pPr>
      <w:r>
        <w:t xml:space="preserve">Cena je splatná na základě faktury vystavené Mandatářem. Faktura může být vystavena nejdříve ke dni předání </w:t>
      </w:r>
      <w:r w:rsidR="004F6A88">
        <w:t xml:space="preserve">Podrobné dokumentace provedených </w:t>
      </w:r>
      <w:r>
        <w:t>šetření a Závěrečné zprávy Mandantovi. Splatnost faktury je 30 dní od data vystavení.</w:t>
      </w:r>
    </w:p>
    <w:p w:rsidR="00CC651D" w:rsidRDefault="00CC651D" w:rsidP="00CC651D">
      <w:pPr>
        <w:pStyle w:val="4OdstavecHKR"/>
        <w:numPr>
          <w:ilvl w:val="0"/>
          <w:numId w:val="0"/>
        </w:numPr>
        <w:ind w:left="454"/>
      </w:pPr>
    </w:p>
    <w:p w:rsidR="00273590" w:rsidRDefault="00273590" w:rsidP="00273590">
      <w:pPr>
        <w:pStyle w:val="3LNEKHKR"/>
        <w:ind w:left="454" w:hanging="166"/>
      </w:pPr>
      <w:r>
        <w:t>Sankce</w:t>
      </w:r>
    </w:p>
    <w:p w:rsidR="00273590" w:rsidRDefault="00273590" w:rsidP="00273590">
      <w:pPr>
        <w:pStyle w:val="4OdstavecHKR"/>
      </w:pPr>
      <w:r>
        <w:t>Mandatář bere na vědomí, že potřeba poskytovaných služeb je pro Mandanta urgentní a Mandant má vysoký zájem na jejich včasném poskytnutí.</w:t>
      </w:r>
    </w:p>
    <w:p w:rsidR="00273590" w:rsidRDefault="00273590" w:rsidP="00273590">
      <w:pPr>
        <w:pStyle w:val="4OdstavecHKR"/>
      </w:pPr>
      <w:r>
        <w:t xml:space="preserve">V případě, že se Mandatář dostane do prodlení s předáním </w:t>
      </w:r>
      <w:r w:rsidR="004F6A88">
        <w:t>Podrobné dokumentace provedených</w:t>
      </w:r>
      <w:r>
        <w:t xml:space="preserve"> šetření nebo Závěrečné zprávy, má Mandant právo na zaplacení Smluvní pokuty ve výši 5% z Ceny </w:t>
      </w:r>
      <w:r w:rsidR="004F6A88">
        <w:t xml:space="preserve">dle čl. VIII. odst. 1 </w:t>
      </w:r>
      <w:r>
        <w:t xml:space="preserve">za první den prodlení plus 0,5 % z Ceny </w:t>
      </w:r>
      <w:r w:rsidR="004F6A88">
        <w:t xml:space="preserve">dle čl. VIII. odst. 1 </w:t>
      </w:r>
      <w:r>
        <w:t>za každý další započatý den prodlení. Tím není dotčeno právo na náhradu škody v rozsahu převyšujícím smluvní pokutu.</w:t>
      </w:r>
    </w:p>
    <w:p w:rsidR="00CC651D" w:rsidRDefault="00CC651D" w:rsidP="00CC651D">
      <w:pPr>
        <w:pStyle w:val="4OdstavecHKR"/>
        <w:numPr>
          <w:ilvl w:val="0"/>
          <w:numId w:val="0"/>
        </w:numPr>
        <w:ind w:left="454"/>
      </w:pPr>
    </w:p>
    <w:p w:rsidR="00273590" w:rsidRPr="00576B2F" w:rsidRDefault="00273590" w:rsidP="00273590">
      <w:pPr>
        <w:pStyle w:val="3LNEKHKR"/>
      </w:pPr>
      <w:r w:rsidRPr="00576B2F">
        <w:lastRenderedPageBreak/>
        <w:t>závěrečná ustanovení</w:t>
      </w:r>
    </w:p>
    <w:p w:rsidR="00273590" w:rsidRPr="00EC31C2" w:rsidRDefault="00273590" w:rsidP="00273590">
      <w:pPr>
        <w:pStyle w:val="4OdstavecHKR"/>
      </w:pPr>
      <w:r>
        <w:t>Tato Smlouva</w:t>
      </w:r>
      <w:r w:rsidRPr="00576B2F">
        <w:t xml:space="preserve"> je podepsána </w:t>
      </w:r>
      <w:r w:rsidRPr="00EC31C2">
        <w:t>ve dvou vyhotoveních s platností originálu, z nichž každá Smluvní strana obdrží jedno vyhotovení.</w:t>
      </w:r>
    </w:p>
    <w:p w:rsidR="00273590" w:rsidRPr="00EC31C2" w:rsidRDefault="00273590" w:rsidP="00273590">
      <w:pPr>
        <w:pStyle w:val="4OdstavecHKR"/>
      </w:pPr>
      <w:r w:rsidRPr="00EC31C2">
        <w:t>Osobami oprávněnými ke komunikaci při plnění této Smlouvy jménem Smluvních stran jsou:</w:t>
      </w:r>
    </w:p>
    <w:p w:rsidR="00273590" w:rsidRDefault="00273590" w:rsidP="00273590">
      <w:pPr>
        <w:pStyle w:val="5PodOdstavecHKR"/>
        <w:ind w:left="1191" w:hanging="471"/>
      </w:pPr>
      <w:r w:rsidRPr="00EC31C2">
        <w:t xml:space="preserve">za Mandanta: Ing. Vilibald Knob, </w:t>
      </w:r>
      <w:r w:rsidR="00EC31C2" w:rsidRPr="00EC31C2">
        <w:t>vedoucí sekce</w:t>
      </w:r>
      <w:r w:rsidR="00EC31C2">
        <w:t xml:space="preserve"> servisních činností</w:t>
      </w:r>
      <w:r>
        <w:t xml:space="preserve">, tel: </w:t>
      </w:r>
      <w:r w:rsidRPr="002C3834">
        <w:t>272 185 873</w:t>
      </w:r>
      <w:r>
        <w:t>, e-mail:</w:t>
      </w:r>
      <w:r w:rsidRPr="00E53B99">
        <w:t xml:space="preserve"> </w:t>
      </w:r>
      <w:r>
        <w:t>vilibald.knob@sukl.cz, a</w:t>
      </w:r>
    </w:p>
    <w:p w:rsidR="00273590" w:rsidRDefault="00273590" w:rsidP="00273590">
      <w:pPr>
        <w:pStyle w:val="5PodOdstavecHKR"/>
        <w:ind w:left="1191" w:hanging="471"/>
      </w:pPr>
      <w:r>
        <w:t xml:space="preserve">za Mandatáře: </w:t>
      </w:r>
      <w:r w:rsidRPr="002C3834">
        <w:rPr>
          <w:i/>
          <w:highlight w:val="yellow"/>
        </w:rPr>
        <w:t>Doplní uchazeč</w:t>
      </w:r>
    </w:p>
    <w:p w:rsidR="00273590" w:rsidRDefault="00273590" w:rsidP="00273590">
      <w:pPr>
        <w:pStyle w:val="4OdstavecHKR"/>
      </w:pPr>
      <w:r>
        <w:t>Je-li nebo stane-li se některé ustanovení této Smlouvy neplatným, neúčinným nebo nevynutitelným, a lze-li ho oddělit od zbytku Smlouvy při zachování jejího smyslu a účelu, nemá to vliv na ostatní ustanovení této Smlouvy. Strany se zavazují takové ustanovení nahradit ustanovením platným, účinným a vynutitelným, které je co do smyslu a účelu nejbližší ustanovení původnímu.</w:t>
      </w:r>
    </w:p>
    <w:p w:rsidR="00273590" w:rsidRDefault="00273590" w:rsidP="00273590">
      <w:pPr>
        <w:pStyle w:val="4OdstavecHKR"/>
      </w:pPr>
      <w:r>
        <w:t>Tato Smlouva se řídí zákonem č. 513/1991 Sb., obchodní zákoník, ve znění pozdějších předpisů.</w:t>
      </w:r>
    </w:p>
    <w:p w:rsidR="00273590" w:rsidRDefault="00273590" w:rsidP="00273590">
      <w:pPr>
        <w:pStyle w:val="4OdstavecHKR"/>
      </w:pPr>
      <w:r>
        <w:t xml:space="preserve">Tuto Smlouvu lze měnit jen ve formě písemných dodatků podepsaných oběma Smluvními stranami. </w:t>
      </w:r>
    </w:p>
    <w:p w:rsidR="00273590" w:rsidRDefault="00273590" w:rsidP="00273590">
      <w:pPr>
        <w:pStyle w:val="4OdstavecHKR"/>
      </w:pPr>
      <w:r>
        <w:t>Smluvní strany berou na vědomí, že Mandant je podle § 147a zákona č. 137/2006 Sb., o veřejných zakázkách, povinen zveřejnit Smlouvu na profilu zadavatele.  Mandant je dále jakožto osoba povinná</w:t>
      </w:r>
      <w:r w:rsidRPr="004071F2">
        <w:t xml:space="preserve"> ve smyslu zák. č. 106/1999 Sb., o svobodném přístupu k</w:t>
      </w:r>
      <w:r>
        <w:t> </w:t>
      </w:r>
      <w:r w:rsidRPr="004071F2">
        <w:t>informacím</w:t>
      </w:r>
      <w:r>
        <w:t>, oprávněn</w:t>
      </w:r>
      <w:r w:rsidRPr="004071F2">
        <w:t xml:space="preserve"> zveřejnit </w:t>
      </w:r>
      <w:r>
        <w:t>Závěrečnou</w:t>
      </w:r>
      <w:r w:rsidRPr="004071F2">
        <w:t xml:space="preserve"> zprávu alespoň v rozsahu </w:t>
      </w:r>
      <w:r>
        <w:t>údajů stanovených tímto zákonem</w:t>
      </w:r>
      <w:r w:rsidRPr="004071F2">
        <w:t>.</w:t>
      </w:r>
    </w:p>
    <w:p w:rsidR="00273590" w:rsidRDefault="00273590" w:rsidP="00273590">
      <w:pPr>
        <w:pStyle w:val="4OdstavecHKR"/>
      </w:pPr>
      <w:r w:rsidRPr="00F479F1">
        <w:t xml:space="preserve">Tato Smlouva a veškeré mimosmluvní záležitosti nebo závazky vyplývající z této Smlouvy či </w:t>
      </w:r>
      <w:r>
        <w:t>s</w:t>
      </w:r>
      <w:r w:rsidRPr="00F479F1">
        <w:t xml:space="preserve">lužeb se budou řídit a vykládat v souladu s právem České republiky. Jakýkoliv spor v souvislosti s touto Smlouvou nebo </w:t>
      </w:r>
      <w:r>
        <w:t>s</w:t>
      </w:r>
      <w:r w:rsidRPr="00F479F1">
        <w:t>lužbami bude předmětem řízení před příslušnými soudy České republiky, kterým se Smluvní strany zavazují podřídit.</w:t>
      </w:r>
    </w:p>
    <w:p w:rsidR="00273590" w:rsidRDefault="00273590" w:rsidP="00273590">
      <w:pPr>
        <w:pStyle w:val="4OdstavecHKR"/>
      </w:pPr>
      <w:r>
        <w:t>Smluvní strany prohlašují, že si Smlouvu přečetly a jako projev své vůle být touto Smlouvu zavázány k ní Smluvní strany připojují své podpisy.</w:t>
      </w:r>
    </w:p>
    <w:p w:rsidR="00273590" w:rsidRDefault="00273590" w:rsidP="00273590"/>
    <w:p w:rsidR="00CC651D" w:rsidRDefault="00CC651D" w:rsidP="00273590"/>
    <w:p w:rsidR="00CC651D" w:rsidRDefault="00CC651D" w:rsidP="00273590"/>
    <w:p w:rsidR="00CC651D" w:rsidRDefault="00CC651D" w:rsidP="00273590"/>
    <w:p w:rsidR="00273590" w:rsidRPr="00576B2F" w:rsidRDefault="00273590" w:rsidP="00273590"/>
    <w:tbl>
      <w:tblPr>
        <w:tblStyle w:val="Mkatabulky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820"/>
      </w:tblGrid>
      <w:tr w:rsidR="00273590" w:rsidRPr="00576B2F" w:rsidTr="004F6A88">
        <w:trPr>
          <w:trHeight w:val="404"/>
        </w:trPr>
        <w:tc>
          <w:tcPr>
            <w:tcW w:w="4678" w:type="dxa"/>
          </w:tcPr>
          <w:p w:rsidR="00273590" w:rsidRPr="00EE7B29" w:rsidRDefault="00273590" w:rsidP="004F6A88">
            <w:r w:rsidRPr="00EE7B29">
              <w:t>V Praze dne</w:t>
            </w:r>
            <w:r>
              <w:t>:</w:t>
            </w:r>
          </w:p>
        </w:tc>
        <w:tc>
          <w:tcPr>
            <w:tcW w:w="4820" w:type="dxa"/>
          </w:tcPr>
          <w:p w:rsidR="00273590" w:rsidRPr="00EE7B29" w:rsidRDefault="00273590" w:rsidP="004F6A88">
            <w:r w:rsidRPr="00EE7B29">
              <w:t>V Praze dne</w:t>
            </w:r>
            <w:r>
              <w:t>:</w:t>
            </w:r>
          </w:p>
        </w:tc>
      </w:tr>
      <w:tr w:rsidR="00273590" w:rsidRPr="00576B2F" w:rsidTr="004F6A88">
        <w:trPr>
          <w:trHeight w:val="268"/>
        </w:trPr>
        <w:tc>
          <w:tcPr>
            <w:tcW w:w="4678" w:type="dxa"/>
          </w:tcPr>
          <w:p w:rsidR="00273590" w:rsidRPr="00EE7B29" w:rsidRDefault="00273590" w:rsidP="004F6A88">
            <w:pPr>
              <w:jc w:val="center"/>
              <w:rPr>
                <w:b/>
              </w:rPr>
            </w:pPr>
            <w:r w:rsidRPr="00791B36">
              <w:rPr>
                <w:b/>
              </w:rPr>
              <w:t>Státní ústav pro kontrolu léčiv</w:t>
            </w:r>
          </w:p>
        </w:tc>
        <w:tc>
          <w:tcPr>
            <w:tcW w:w="4820" w:type="dxa"/>
          </w:tcPr>
          <w:p w:rsidR="00273590" w:rsidRPr="00500A0B" w:rsidRDefault="00273590" w:rsidP="004F6A88">
            <w:pPr>
              <w:jc w:val="center"/>
              <w:rPr>
                <w:b/>
                <w:i/>
              </w:rPr>
            </w:pPr>
            <w:r w:rsidRPr="00500A0B">
              <w:rPr>
                <w:b/>
                <w:i/>
                <w:highlight w:val="yellow"/>
              </w:rPr>
              <w:t>Doplní uchazeč</w:t>
            </w:r>
          </w:p>
        </w:tc>
      </w:tr>
      <w:tr w:rsidR="00273590" w:rsidRPr="00576B2F" w:rsidTr="004F6A88">
        <w:tc>
          <w:tcPr>
            <w:tcW w:w="4678" w:type="dxa"/>
          </w:tcPr>
          <w:p w:rsidR="00273590" w:rsidRPr="00EE7B29" w:rsidRDefault="00273590" w:rsidP="004F6A88">
            <w:pPr>
              <w:jc w:val="center"/>
            </w:pPr>
            <w:r>
              <w:t>Mandant</w:t>
            </w:r>
          </w:p>
        </w:tc>
        <w:tc>
          <w:tcPr>
            <w:tcW w:w="4820" w:type="dxa"/>
          </w:tcPr>
          <w:p w:rsidR="00273590" w:rsidRPr="00EE7B29" w:rsidRDefault="00273590" w:rsidP="004F6A88">
            <w:pPr>
              <w:ind w:left="34"/>
              <w:jc w:val="center"/>
            </w:pPr>
            <w:r>
              <w:t>Mandatář</w:t>
            </w:r>
          </w:p>
        </w:tc>
      </w:tr>
      <w:tr w:rsidR="00273590" w:rsidRPr="00576B2F" w:rsidTr="004F6A88">
        <w:trPr>
          <w:trHeight w:val="1254"/>
        </w:trPr>
        <w:tc>
          <w:tcPr>
            <w:tcW w:w="4678" w:type="dxa"/>
          </w:tcPr>
          <w:p w:rsidR="00273590" w:rsidRPr="00EE7B29" w:rsidRDefault="00273590" w:rsidP="004F6A88">
            <w:pPr>
              <w:jc w:val="center"/>
            </w:pPr>
          </w:p>
          <w:p w:rsidR="00273590" w:rsidRPr="00EE7B29" w:rsidRDefault="00273590" w:rsidP="004F6A88">
            <w:pPr>
              <w:jc w:val="center"/>
            </w:pPr>
          </w:p>
          <w:p w:rsidR="00273590" w:rsidRPr="00EE7B29" w:rsidRDefault="00273590" w:rsidP="004F6A88">
            <w:pPr>
              <w:jc w:val="center"/>
            </w:pPr>
          </w:p>
          <w:p w:rsidR="00273590" w:rsidRPr="00EE7B29" w:rsidRDefault="00273590" w:rsidP="004F6A88">
            <w:pPr>
              <w:jc w:val="center"/>
            </w:pPr>
            <w:r w:rsidRPr="00EE7B29">
              <w:t>___________________</w:t>
            </w:r>
          </w:p>
        </w:tc>
        <w:tc>
          <w:tcPr>
            <w:tcW w:w="4820" w:type="dxa"/>
          </w:tcPr>
          <w:p w:rsidR="00273590" w:rsidRPr="00EE7B29" w:rsidRDefault="00273590" w:rsidP="004F6A88">
            <w:pPr>
              <w:jc w:val="center"/>
            </w:pPr>
          </w:p>
          <w:p w:rsidR="00273590" w:rsidRPr="00EE7B29" w:rsidRDefault="00273590" w:rsidP="004F6A88">
            <w:pPr>
              <w:jc w:val="center"/>
            </w:pPr>
          </w:p>
          <w:p w:rsidR="00273590" w:rsidRPr="00EE7B29" w:rsidRDefault="00273590" w:rsidP="004F6A88">
            <w:pPr>
              <w:jc w:val="center"/>
            </w:pPr>
          </w:p>
          <w:p w:rsidR="00273590" w:rsidRPr="00EE7B29" w:rsidRDefault="00273590" w:rsidP="004F6A88">
            <w:pPr>
              <w:jc w:val="center"/>
            </w:pPr>
            <w:r w:rsidRPr="00EE7B29">
              <w:t>___________________</w:t>
            </w:r>
          </w:p>
        </w:tc>
      </w:tr>
      <w:tr w:rsidR="00273590" w:rsidRPr="00576B2F" w:rsidTr="004F6A88">
        <w:tc>
          <w:tcPr>
            <w:tcW w:w="4678" w:type="dxa"/>
          </w:tcPr>
          <w:p w:rsidR="00273590" w:rsidRPr="00EE7B29" w:rsidRDefault="00273590" w:rsidP="004F6A88">
            <w:pPr>
              <w:jc w:val="center"/>
            </w:pPr>
            <w:r w:rsidRPr="00500A0B">
              <w:t>MUDr. Pavel Březovský, MBA</w:t>
            </w:r>
          </w:p>
        </w:tc>
        <w:tc>
          <w:tcPr>
            <w:tcW w:w="4820" w:type="dxa"/>
          </w:tcPr>
          <w:p w:rsidR="00273590" w:rsidRPr="00500A0B" w:rsidRDefault="00273590" w:rsidP="004F6A88">
            <w:pPr>
              <w:jc w:val="center"/>
            </w:pPr>
            <w:r w:rsidRPr="00500A0B">
              <w:rPr>
                <w:i/>
                <w:highlight w:val="yellow"/>
              </w:rPr>
              <w:t>Doplní uchazeč</w:t>
            </w:r>
          </w:p>
        </w:tc>
      </w:tr>
      <w:tr w:rsidR="00273590" w:rsidRPr="00576B2F" w:rsidTr="004F6A88">
        <w:tc>
          <w:tcPr>
            <w:tcW w:w="4678" w:type="dxa"/>
          </w:tcPr>
          <w:p w:rsidR="00273590" w:rsidRPr="00EE7B29" w:rsidRDefault="00273590" w:rsidP="004F6A88">
            <w:pPr>
              <w:jc w:val="center"/>
            </w:pPr>
            <w:r>
              <w:t>ředitel</w:t>
            </w:r>
          </w:p>
        </w:tc>
        <w:tc>
          <w:tcPr>
            <w:tcW w:w="4820" w:type="dxa"/>
          </w:tcPr>
          <w:p w:rsidR="00273590" w:rsidRPr="00500A0B" w:rsidRDefault="00273590" w:rsidP="004F6A88">
            <w:pPr>
              <w:jc w:val="center"/>
            </w:pPr>
            <w:r w:rsidRPr="00500A0B">
              <w:rPr>
                <w:i/>
                <w:highlight w:val="yellow"/>
              </w:rPr>
              <w:t>Doplní uchazeč</w:t>
            </w:r>
          </w:p>
        </w:tc>
      </w:tr>
    </w:tbl>
    <w:p w:rsidR="00273590" w:rsidRDefault="00273590" w:rsidP="00273590"/>
    <w:p w:rsidR="00942A4A" w:rsidRDefault="00942A4A"/>
    <w:sectPr w:rsidR="00942A4A" w:rsidSect="004F6A8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03D" w:rsidRDefault="00A9503D" w:rsidP="00273590">
      <w:r>
        <w:separator/>
      </w:r>
    </w:p>
  </w:endnote>
  <w:endnote w:type="continuationSeparator" w:id="0">
    <w:p w:rsidR="00A9503D" w:rsidRDefault="00A9503D" w:rsidP="00273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1308980443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F6A88" w:rsidRPr="00273590" w:rsidRDefault="004F6A88">
            <w:pPr>
              <w:pStyle w:val="Zpat"/>
              <w:jc w:val="right"/>
              <w:rPr>
                <w:sz w:val="16"/>
                <w:szCs w:val="16"/>
              </w:rPr>
            </w:pPr>
            <w:r w:rsidRPr="00273590">
              <w:rPr>
                <w:sz w:val="16"/>
                <w:szCs w:val="16"/>
              </w:rPr>
              <w:t xml:space="preserve">Stránka </w:t>
            </w:r>
            <w:r w:rsidRPr="00273590">
              <w:rPr>
                <w:bCs/>
                <w:sz w:val="16"/>
                <w:szCs w:val="16"/>
              </w:rPr>
              <w:fldChar w:fldCharType="begin"/>
            </w:r>
            <w:r w:rsidRPr="00273590">
              <w:rPr>
                <w:bCs/>
                <w:sz w:val="16"/>
                <w:szCs w:val="16"/>
              </w:rPr>
              <w:instrText>PAGE</w:instrText>
            </w:r>
            <w:r w:rsidRPr="00273590">
              <w:rPr>
                <w:bCs/>
                <w:sz w:val="16"/>
                <w:szCs w:val="16"/>
              </w:rPr>
              <w:fldChar w:fldCharType="separate"/>
            </w:r>
            <w:r w:rsidR="00A9634B">
              <w:rPr>
                <w:bCs/>
                <w:noProof/>
                <w:sz w:val="16"/>
                <w:szCs w:val="16"/>
              </w:rPr>
              <w:t>1</w:t>
            </w:r>
            <w:r w:rsidRPr="00273590">
              <w:rPr>
                <w:bCs/>
                <w:sz w:val="16"/>
                <w:szCs w:val="16"/>
              </w:rPr>
              <w:fldChar w:fldCharType="end"/>
            </w:r>
            <w:r w:rsidRPr="00273590">
              <w:rPr>
                <w:sz w:val="16"/>
                <w:szCs w:val="16"/>
              </w:rPr>
              <w:t xml:space="preserve"> z </w:t>
            </w:r>
            <w:r w:rsidRPr="00273590">
              <w:rPr>
                <w:bCs/>
                <w:sz w:val="16"/>
                <w:szCs w:val="16"/>
              </w:rPr>
              <w:fldChar w:fldCharType="begin"/>
            </w:r>
            <w:r w:rsidRPr="00273590">
              <w:rPr>
                <w:bCs/>
                <w:sz w:val="16"/>
                <w:szCs w:val="16"/>
              </w:rPr>
              <w:instrText>NUMPAGES</w:instrText>
            </w:r>
            <w:r w:rsidRPr="00273590">
              <w:rPr>
                <w:bCs/>
                <w:sz w:val="16"/>
                <w:szCs w:val="16"/>
              </w:rPr>
              <w:fldChar w:fldCharType="separate"/>
            </w:r>
            <w:r w:rsidR="00A9634B">
              <w:rPr>
                <w:bCs/>
                <w:noProof/>
                <w:sz w:val="16"/>
                <w:szCs w:val="16"/>
              </w:rPr>
              <w:t>5</w:t>
            </w:r>
            <w:r w:rsidRPr="00273590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4F6A88" w:rsidRDefault="004F6A8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03D" w:rsidRDefault="00A9503D" w:rsidP="00273590">
      <w:r>
        <w:separator/>
      </w:r>
    </w:p>
  </w:footnote>
  <w:footnote w:type="continuationSeparator" w:id="0">
    <w:p w:rsidR="00A9503D" w:rsidRDefault="00A9503D" w:rsidP="002735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35929"/>
    <w:multiLevelType w:val="multilevel"/>
    <w:tmpl w:val="0A2A397A"/>
    <w:numStyleLink w:val="Legal"/>
  </w:abstractNum>
  <w:abstractNum w:abstractNumId="1">
    <w:nsid w:val="24B90C06"/>
    <w:multiLevelType w:val="multilevel"/>
    <w:tmpl w:val="0A2A397A"/>
    <w:styleLink w:val="Legal"/>
    <w:lvl w:ilvl="0">
      <w:start w:val="1"/>
      <w:numFmt w:val="upperRoman"/>
      <w:pStyle w:val="3LNEKHKR"/>
      <w:lvlText w:val="%1."/>
      <w:lvlJc w:val="center"/>
      <w:pPr>
        <w:ind w:left="454" w:hanging="166"/>
      </w:pPr>
      <w:rPr>
        <w:rFonts w:ascii="Times New Roman" w:hAnsi="Times New Roman" w:hint="default"/>
        <w:b/>
        <w:caps/>
        <w:sz w:val="22"/>
      </w:rPr>
    </w:lvl>
    <w:lvl w:ilvl="1">
      <w:start w:val="1"/>
      <w:numFmt w:val="decimal"/>
      <w:pStyle w:val="4OdstavecHKR"/>
      <w:lvlText w:val="%2)"/>
      <w:lvlJc w:val="left"/>
      <w:pPr>
        <w:ind w:left="454" w:hanging="454"/>
      </w:pPr>
      <w:rPr>
        <w:rFonts w:ascii="Times New Roman" w:hAnsi="Times New Roman" w:hint="default"/>
        <w:b w:val="0"/>
        <w:i w:val="0"/>
        <w:sz w:val="22"/>
        <w:szCs w:val="24"/>
      </w:rPr>
    </w:lvl>
    <w:lvl w:ilvl="2">
      <w:start w:val="1"/>
      <w:numFmt w:val="lowerLetter"/>
      <w:pStyle w:val="5PodOdstavecHKR"/>
      <w:lvlText w:val="%3)"/>
      <w:lvlJc w:val="left"/>
      <w:pPr>
        <w:ind w:left="1191" w:hanging="471"/>
      </w:pPr>
      <w:rPr>
        <w:rFonts w:ascii="Times New Roman" w:hAnsi="Times New Roman" w:hint="default"/>
        <w:sz w:val="22"/>
      </w:rPr>
    </w:lvl>
    <w:lvl w:ilvl="3">
      <w:start w:val="1"/>
      <w:numFmt w:val="lowerRoman"/>
      <w:pStyle w:val="6PodPodOdstavecHKR"/>
      <w:lvlText w:val="(%4)"/>
      <w:lvlJc w:val="left"/>
      <w:pPr>
        <w:ind w:left="1588" w:hanging="508"/>
      </w:pPr>
      <w:rPr>
        <w:rFonts w:ascii="Times New Roman" w:hAnsi="Times New Roman" w:hint="default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upperRoman"/>
        <w:pStyle w:val="3LNEKHKR"/>
        <w:lvlText w:val="%1."/>
        <w:lvlJc w:val="center"/>
        <w:pPr>
          <w:ind w:left="454" w:hanging="166"/>
        </w:pPr>
        <w:rPr>
          <w:rFonts w:ascii="Bookman Old Style" w:hAnsi="Bookman Old Style" w:cs="Times New Roman"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  <w:lvlOverride w:ilvl="1">
      <w:lvl w:ilvl="1">
        <w:start w:val="1"/>
        <w:numFmt w:val="decimal"/>
        <w:pStyle w:val="4OdstavecHKR"/>
        <w:lvlText w:val="%2)"/>
        <w:lvlJc w:val="left"/>
        <w:pPr>
          <w:ind w:left="454" w:hanging="454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  <w:lvlOverride w:ilvl="2">
      <w:lvl w:ilvl="2">
        <w:start w:val="1"/>
        <w:numFmt w:val="lowerLetter"/>
        <w:pStyle w:val="5PodOdstavecHKR"/>
        <w:lvlText w:val="%3)"/>
        <w:lvlJc w:val="left"/>
        <w:pPr>
          <w:ind w:left="1191" w:hanging="471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  <w:lvlOverride w:ilvl="3">
      <w:lvl w:ilvl="3">
        <w:start w:val="1"/>
        <w:numFmt w:val="lowerRoman"/>
        <w:pStyle w:val="6PodPodOdstavecHKR"/>
        <w:lvlText w:val="(%4)"/>
        <w:lvlJc w:val="left"/>
        <w:pPr>
          <w:ind w:left="1588" w:hanging="508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590"/>
    <w:rsid w:val="00271901"/>
    <w:rsid w:val="00273590"/>
    <w:rsid w:val="00340090"/>
    <w:rsid w:val="003B2374"/>
    <w:rsid w:val="004F6A88"/>
    <w:rsid w:val="00756E2A"/>
    <w:rsid w:val="00925FC5"/>
    <w:rsid w:val="00926DFF"/>
    <w:rsid w:val="00942A4A"/>
    <w:rsid w:val="00A9503D"/>
    <w:rsid w:val="00A9634B"/>
    <w:rsid w:val="00B663A5"/>
    <w:rsid w:val="00CC651D"/>
    <w:rsid w:val="00EC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3590"/>
    <w:pPr>
      <w:spacing w:after="0" w:line="240" w:lineRule="auto"/>
    </w:pPr>
    <w:rPr>
      <w:rFonts w:ascii="Bookman Old Style" w:hAnsi="Bookman Old Sty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4OdstavecHKR">
    <w:name w:val="4_Odstavec HKČR"/>
    <w:basedOn w:val="Normln"/>
    <w:qFormat/>
    <w:rsid w:val="00273590"/>
    <w:pPr>
      <w:numPr>
        <w:ilvl w:val="1"/>
        <w:numId w:val="2"/>
      </w:numPr>
      <w:spacing w:after="120"/>
      <w:jc w:val="both"/>
    </w:pPr>
  </w:style>
  <w:style w:type="paragraph" w:customStyle="1" w:styleId="3LNEKHKR">
    <w:name w:val="3_ČLÁNEK HKČR"/>
    <w:basedOn w:val="Normln"/>
    <w:next w:val="4OdstavecHKR"/>
    <w:qFormat/>
    <w:rsid w:val="00273590"/>
    <w:pPr>
      <w:numPr>
        <w:numId w:val="2"/>
      </w:numPr>
      <w:spacing w:before="360" w:after="120"/>
      <w:ind w:left="567" w:hanging="279"/>
      <w:jc w:val="center"/>
    </w:pPr>
    <w:rPr>
      <w:b/>
      <w:caps/>
    </w:rPr>
  </w:style>
  <w:style w:type="paragraph" w:customStyle="1" w:styleId="5PodOdstavecHKR">
    <w:name w:val="5_PodOdstavec HKČR"/>
    <w:basedOn w:val="Normln"/>
    <w:qFormat/>
    <w:rsid w:val="00273590"/>
    <w:pPr>
      <w:numPr>
        <w:ilvl w:val="2"/>
        <w:numId w:val="2"/>
      </w:numPr>
      <w:spacing w:after="120"/>
      <w:ind w:left="1418" w:hanging="698"/>
      <w:jc w:val="both"/>
    </w:pPr>
  </w:style>
  <w:style w:type="paragraph" w:customStyle="1" w:styleId="6PodPodOdstavecHKR">
    <w:name w:val="6_PodPodOdstavec HKČR"/>
    <w:basedOn w:val="Normln"/>
    <w:qFormat/>
    <w:rsid w:val="00273590"/>
    <w:pPr>
      <w:numPr>
        <w:ilvl w:val="3"/>
        <w:numId w:val="2"/>
      </w:numPr>
      <w:spacing w:after="120"/>
      <w:ind w:left="1843" w:hanging="567"/>
      <w:contextualSpacing/>
      <w:jc w:val="both"/>
    </w:pPr>
  </w:style>
  <w:style w:type="numbering" w:customStyle="1" w:styleId="Legal">
    <w:name w:val="Legal"/>
    <w:uiPriority w:val="99"/>
    <w:rsid w:val="00273590"/>
    <w:pPr>
      <w:numPr>
        <w:numId w:val="1"/>
      </w:numPr>
    </w:pPr>
  </w:style>
  <w:style w:type="paragraph" w:customStyle="1" w:styleId="1NADPISSMLOUVYHKR">
    <w:name w:val="1_NADPIS SMLOUVY HKČR"/>
    <w:basedOn w:val="Normln"/>
    <w:qFormat/>
    <w:rsid w:val="00273590"/>
    <w:pPr>
      <w:jc w:val="center"/>
    </w:pPr>
    <w:rPr>
      <w:b/>
      <w:caps/>
      <w:sz w:val="32"/>
      <w:szCs w:val="32"/>
    </w:rPr>
  </w:style>
  <w:style w:type="paragraph" w:customStyle="1" w:styleId="2ZhlavsmlouvyHKR">
    <w:name w:val="2_Záhlaví smlouvy HKČR"/>
    <w:basedOn w:val="Normln"/>
    <w:qFormat/>
    <w:rsid w:val="00273590"/>
    <w:pPr>
      <w:jc w:val="center"/>
    </w:pPr>
    <w:rPr>
      <w:szCs w:val="24"/>
    </w:rPr>
  </w:style>
  <w:style w:type="table" w:styleId="Mkatabulky">
    <w:name w:val="Table Grid"/>
    <w:basedOn w:val="Normlntabulka"/>
    <w:uiPriority w:val="59"/>
    <w:rsid w:val="002735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27359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73590"/>
    <w:rPr>
      <w:rFonts w:ascii="Bookman Old Style" w:hAnsi="Bookman Old Style"/>
    </w:rPr>
  </w:style>
  <w:style w:type="paragraph" w:styleId="Zpat">
    <w:name w:val="footer"/>
    <w:basedOn w:val="Normln"/>
    <w:link w:val="ZpatChar"/>
    <w:uiPriority w:val="99"/>
    <w:unhideWhenUsed/>
    <w:rsid w:val="0027359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73590"/>
    <w:rPr>
      <w:rFonts w:ascii="Bookman Old Style" w:hAnsi="Bookman Old Style"/>
    </w:rPr>
  </w:style>
  <w:style w:type="character" w:styleId="Odkaznakoment">
    <w:name w:val="annotation reference"/>
    <w:basedOn w:val="Standardnpsmoodstavce"/>
    <w:uiPriority w:val="99"/>
    <w:semiHidden/>
    <w:unhideWhenUsed/>
    <w:rsid w:val="003B237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237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2374"/>
    <w:rPr>
      <w:rFonts w:ascii="Bookman Old Style" w:hAnsi="Bookman Old Style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237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B2374"/>
    <w:rPr>
      <w:rFonts w:ascii="Bookman Old Style" w:hAnsi="Bookman Old Style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B237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23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3590"/>
    <w:pPr>
      <w:spacing w:after="0" w:line="240" w:lineRule="auto"/>
    </w:pPr>
    <w:rPr>
      <w:rFonts w:ascii="Bookman Old Style" w:hAnsi="Bookman Old Sty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4OdstavecHKR">
    <w:name w:val="4_Odstavec HKČR"/>
    <w:basedOn w:val="Normln"/>
    <w:qFormat/>
    <w:rsid w:val="00273590"/>
    <w:pPr>
      <w:numPr>
        <w:ilvl w:val="1"/>
        <w:numId w:val="2"/>
      </w:numPr>
      <w:spacing w:after="120"/>
      <w:jc w:val="both"/>
    </w:pPr>
  </w:style>
  <w:style w:type="paragraph" w:customStyle="1" w:styleId="3LNEKHKR">
    <w:name w:val="3_ČLÁNEK HKČR"/>
    <w:basedOn w:val="Normln"/>
    <w:next w:val="4OdstavecHKR"/>
    <w:qFormat/>
    <w:rsid w:val="00273590"/>
    <w:pPr>
      <w:numPr>
        <w:numId w:val="2"/>
      </w:numPr>
      <w:spacing w:before="360" w:after="120"/>
      <w:ind w:left="567" w:hanging="279"/>
      <w:jc w:val="center"/>
    </w:pPr>
    <w:rPr>
      <w:b/>
      <w:caps/>
    </w:rPr>
  </w:style>
  <w:style w:type="paragraph" w:customStyle="1" w:styleId="5PodOdstavecHKR">
    <w:name w:val="5_PodOdstavec HKČR"/>
    <w:basedOn w:val="Normln"/>
    <w:qFormat/>
    <w:rsid w:val="00273590"/>
    <w:pPr>
      <w:numPr>
        <w:ilvl w:val="2"/>
        <w:numId w:val="2"/>
      </w:numPr>
      <w:spacing w:after="120"/>
      <w:ind w:left="1418" w:hanging="698"/>
      <w:jc w:val="both"/>
    </w:pPr>
  </w:style>
  <w:style w:type="paragraph" w:customStyle="1" w:styleId="6PodPodOdstavecHKR">
    <w:name w:val="6_PodPodOdstavec HKČR"/>
    <w:basedOn w:val="Normln"/>
    <w:qFormat/>
    <w:rsid w:val="00273590"/>
    <w:pPr>
      <w:numPr>
        <w:ilvl w:val="3"/>
        <w:numId w:val="2"/>
      </w:numPr>
      <w:spacing w:after="120"/>
      <w:ind w:left="1843" w:hanging="567"/>
      <w:contextualSpacing/>
      <w:jc w:val="both"/>
    </w:pPr>
  </w:style>
  <w:style w:type="numbering" w:customStyle="1" w:styleId="Legal">
    <w:name w:val="Legal"/>
    <w:uiPriority w:val="99"/>
    <w:rsid w:val="00273590"/>
    <w:pPr>
      <w:numPr>
        <w:numId w:val="1"/>
      </w:numPr>
    </w:pPr>
  </w:style>
  <w:style w:type="paragraph" w:customStyle="1" w:styleId="1NADPISSMLOUVYHKR">
    <w:name w:val="1_NADPIS SMLOUVY HKČR"/>
    <w:basedOn w:val="Normln"/>
    <w:qFormat/>
    <w:rsid w:val="00273590"/>
    <w:pPr>
      <w:jc w:val="center"/>
    </w:pPr>
    <w:rPr>
      <w:b/>
      <w:caps/>
      <w:sz w:val="32"/>
      <w:szCs w:val="32"/>
    </w:rPr>
  </w:style>
  <w:style w:type="paragraph" w:customStyle="1" w:styleId="2ZhlavsmlouvyHKR">
    <w:name w:val="2_Záhlaví smlouvy HKČR"/>
    <w:basedOn w:val="Normln"/>
    <w:qFormat/>
    <w:rsid w:val="00273590"/>
    <w:pPr>
      <w:jc w:val="center"/>
    </w:pPr>
    <w:rPr>
      <w:szCs w:val="24"/>
    </w:rPr>
  </w:style>
  <w:style w:type="table" w:styleId="Mkatabulky">
    <w:name w:val="Table Grid"/>
    <w:basedOn w:val="Normlntabulka"/>
    <w:uiPriority w:val="59"/>
    <w:rsid w:val="002735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27359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73590"/>
    <w:rPr>
      <w:rFonts w:ascii="Bookman Old Style" w:hAnsi="Bookman Old Style"/>
    </w:rPr>
  </w:style>
  <w:style w:type="paragraph" w:styleId="Zpat">
    <w:name w:val="footer"/>
    <w:basedOn w:val="Normln"/>
    <w:link w:val="ZpatChar"/>
    <w:uiPriority w:val="99"/>
    <w:unhideWhenUsed/>
    <w:rsid w:val="0027359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73590"/>
    <w:rPr>
      <w:rFonts w:ascii="Bookman Old Style" w:hAnsi="Bookman Old Style"/>
    </w:rPr>
  </w:style>
  <w:style w:type="character" w:styleId="Odkaznakoment">
    <w:name w:val="annotation reference"/>
    <w:basedOn w:val="Standardnpsmoodstavce"/>
    <w:uiPriority w:val="99"/>
    <w:semiHidden/>
    <w:unhideWhenUsed/>
    <w:rsid w:val="003B237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237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2374"/>
    <w:rPr>
      <w:rFonts w:ascii="Bookman Old Style" w:hAnsi="Bookman Old Style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237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B2374"/>
    <w:rPr>
      <w:rFonts w:ascii="Bookman Old Style" w:hAnsi="Bookman Old Style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B237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23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1649</Words>
  <Characters>9735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Burge</dc:creator>
  <cp:lastModifiedBy>Kettner Karel</cp:lastModifiedBy>
  <cp:revision>5</cp:revision>
  <cp:lastPrinted>2012-10-19T06:59:00Z</cp:lastPrinted>
  <dcterms:created xsi:type="dcterms:W3CDTF">2012-10-17T08:24:00Z</dcterms:created>
  <dcterms:modified xsi:type="dcterms:W3CDTF">2012-10-19T07:02:00Z</dcterms:modified>
</cp:coreProperties>
</file>